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89" w:rsidRDefault="008E3189" w:rsidP="008E3189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>
        <w:rPr>
          <w:rFonts w:asciiTheme="minorHAnsi" w:hAnsiTheme="minorHAnsi" w:cs="Arial"/>
          <w:b/>
        </w:rPr>
        <w:t xml:space="preserve">                   /2021</w:t>
      </w:r>
    </w:p>
    <w:p w:rsidR="008E3189" w:rsidRDefault="008E3189" w:rsidP="008E3189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8E3189" w:rsidRPr="004E7312" w:rsidRDefault="008E3189" w:rsidP="008E3189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ANT.: 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Oficio N° E24626, fiscalización preliminar rol F436-21.</w:t>
      </w:r>
    </w:p>
    <w:p w:rsidR="008E3189" w:rsidRDefault="008E3189" w:rsidP="008E3189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E3189" w:rsidRPr="00BC524E" w:rsidRDefault="008E3189" w:rsidP="008E3189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Pr="009A5A9C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escargos fiscalización ROL F436-21.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E3189" w:rsidRPr="00BC524E" w:rsidRDefault="008E3189" w:rsidP="008E3189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8E3189" w:rsidRPr="00BC524E" w:rsidRDefault="008E3189" w:rsidP="008E318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CASABLANCA, 13 de diciembre de 2021.</w:t>
      </w:r>
    </w:p>
    <w:p w:rsidR="003E6D57" w:rsidRPr="00501C08" w:rsidRDefault="003E6D57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513D18" w:rsidRDefault="008E3189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DE</w:t>
      </w:r>
      <w:r w:rsidR="0061210F" w:rsidRPr="00501C08">
        <w:rPr>
          <w:rFonts w:asciiTheme="minorHAnsi" w:hAnsiTheme="minorHAnsi" w:cs="Arial"/>
          <w:b/>
          <w:sz w:val="21"/>
          <w:szCs w:val="21"/>
        </w:rPr>
        <w:t>: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ab/>
      </w:r>
      <w:r>
        <w:rPr>
          <w:rFonts w:asciiTheme="minorHAnsi" w:hAnsiTheme="minorHAnsi" w:cs="Arial"/>
          <w:b/>
          <w:sz w:val="21"/>
          <w:szCs w:val="21"/>
        </w:rPr>
        <w:t>FRANCISCO RIQUELME LOPEZ</w:t>
      </w:r>
    </w:p>
    <w:p w:rsidR="008E3189" w:rsidRPr="00501C08" w:rsidRDefault="008E3189" w:rsidP="00971B9C">
      <w:pPr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ab/>
        <w:t>ALCALDE DE CASABLANCA</w:t>
      </w:r>
    </w:p>
    <w:p w:rsidR="0061210F" w:rsidRPr="00501C08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8E3189" w:rsidRDefault="0061210F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DE: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="006546CD" w:rsidRPr="00501C08">
        <w:rPr>
          <w:rFonts w:asciiTheme="minorHAnsi" w:hAnsiTheme="minorHAnsi" w:cs="Arial"/>
          <w:b/>
          <w:sz w:val="21"/>
          <w:szCs w:val="21"/>
        </w:rPr>
        <w:tab/>
      </w:r>
      <w:r w:rsidR="008E3189">
        <w:rPr>
          <w:rFonts w:asciiTheme="minorHAnsi" w:hAnsiTheme="minorHAnsi" w:cs="Arial"/>
          <w:b/>
          <w:sz w:val="21"/>
          <w:szCs w:val="21"/>
        </w:rPr>
        <w:t>SR. HÉCTOR MORAGA CHÁVEZ</w:t>
      </w:r>
    </w:p>
    <w:p w:rsidR="000A0881" w:rsidRDefault="008E3189" w:rsidP="008E3189">
      <w:pPr>
        <w:ind w:firstLine="708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DIRECTOR </w:t>
      </w:r>
      <w:r w:rsidR="000A0881">
        <w:rPr>
          <w:rFonts w:asciiTheme="minorHAnsi" w:hAnsiTheme="minorHAnsi" w:cs="Arial"/>
          <w:b/>
          <w:sz w:val="21"/>
          <w:szCs w:val="21"/>
        </w:rPr>
        <w:t>DE FISCALIZACIÓN</w:t>
      </w:r>
    </w:p>
    <w:p w:rsidR="00D9474C" w:rsidRDefault="008E3189" w:rsidP="008E3189">
      <w:pPr>
        <w:ind w:firstLine="708"/>
        <w:jc w:val="both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CONSEJO PARA LA TRANSPARENCIA </w:t>
      </w:r>
    </w:p>
    <w:p w:rsidR="008E3189" w:rsidRPr="00501C08" w:rsidRDefault="008E3189" w:rsidP="00153A24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3E6D57" w:rsidRPr="00501C08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1"/>
          <w:szCs w:val="21"/>
        </w:rPr>
      </w:pPr>
    </w:p>
    <w:p w:rsidR="00AB6ED6" w:rsidRDefault="00043D26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Junto con saludarle, y en relación a los resultados preliminares de proceso de fiscalización, ROL F436-21</w:t>
      </w:r>
      <w:r w:rsidR="00AB6ED6">
        <w:rPr>
          <w:rFonts w:asciiTheme="minorHAnsi" w:hAnsiTheme="minorHAnsi" w:cs="Arial"/>
          <w:sz w:val="21"/>
          <w:szCs w:val="21"/>
        </w:rPr>
        <w:t>, se informa lo siguiente:</w:t>
      </w:r>
    </w:p>
    <w:p w:rsidR="00AB6ED6" w:rsidRDefault="00AB6ED6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AB6ED6" w:rsidRDefault="00AB6ED6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Marco Normativo, en cuanto a la publicación de la Ley N° 20.920, esta efectivamente no se encontraba dispon</w:t>
      </w:r>
      <w:r w:rsidR="00C10F9D">
        <w:rPr>
          <w:rFonts w:asciiTheme="minorHAnsi" w:hAnsiTheme="minorHAnsi" w:cs="Arial"/>
          <w:sz w:val="21"/>
          <w:szCs w:val="21"/>
        </w:rPr>
        <w:t>i</w:t>
      </w:r>
      <w:r>
        <w:rPr>
          <w:rFonts w:asciiTheme="minorHAnsi" w:hAnsiTheme="minorHAnsi" w:cs="Arial"/>
          <w:sz w:val="21"/>
          <w:szCs w:val="21"/>
        </w:rPr>
        <w:t>ble</w:t>
      </w:r>
      <w:r w:rsidR="009E3529">
        <w:rPr>
          <w:rFonts w:asciiTheme="minorHAnsi" w:hAnsiTheme="minorHAnsi" w:cs="Arial"/>
          <w:sz w:val="21"/>
          <w:szCs w:val="21"/>
        </w:rPr>
        <w:t xml:space="preserve">. Para la publicación </w:t>
      </w:r>
      <w:r w:rsidR="006F5B42">
        <w:rPr>
          <w:rFonts w:asciiTheme="minorHAnsi" w:hAnsiTheme="minorHAnsi" w:cs="Arial"/>
          <w:sz w:val="21"/>
          <w:szCs w:val="21"/>
        </w:rPr>
        <w:t xml:space="preserve">ordenada de forma jerárquica y cronológica, las publicaciones </w:t>
      </w:r>
      <w:r w:rsidR="00611562">
        <w:rPr>
          <w:rFonts w:asciiTheme="minorHAnsi" w:hAnsiTheme="minorHAnsi" w:cs="Arial"/>
          <w:sz w:val="21"/>
          <w:szCs w:val="21"/>
        </w:rPr>
        <w:t xml:space="preserve">y su clasificación, no </w:t>
      </w:r>
      <w:r w:rsidR="00C10F9D">
        <w:rPr>
          <w:rFonts w:asciiTheme="minorHAnsi" w:hAnsiTheme="minorHAnsi" w:cs="Arial"/>
          <w:sz w:val="21"/>
          <w:szCs w:val="21"/>
        </w:rPr>
        <w:t>habían sido observada</w:t>
      </w:r>
      <w:r w:rsidR="00611562">
        <w:rPr>
          <w:rFonts w:asciiTheme="minorHAnsi" w:hAnsiTheme="minorHAnsi" w:cs="Arial"/>
          <w:sz w:val="21"/>
          <w:szCs w:val="21"/>
        </w:rPr>
        <w:t>s en fiscalizaciones anteriores, en tal sentido se entendía cumplido con los requerimientos de la normativa.</w:t>
      </w:r>
      <w:r w:rsidR="00C678AA">
        <w:rPr>
          <w:rFonts w:asciiTheme="minorHAnsi" w:hAnsiTheme="minorHAnsi" w:cs="Arial"/>
          <w:sz w:val="21"/>
          <w:szCs w:val="21"/>
        </w:rPr>
        <w:t xml:space="preserve"> Ambas observaciones han sido subsanadas. </w:t>
      </w:r>
    </w:p>
    <w:p w:rsidR="00C678AA" w:rsidRDefault="00C678AA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C678AA" w:rsidRDefault="00C678AA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Otras compras, </w:t>
      </w:r>
      <w:r w:rsidR="000D272C">
        <w:rPr>
          <w:rFonts w:asciiTheme="minorHAnsi" w:hAnsiTheme="minorHAnsi" w:cs="Arial"/>
          <w:sz w:val="21"/>
          <w:szCs w:val="21"/>
        </w:rPr>
        <w:t>en cuanto a la solicitud de aclaración de compras</w:t>
      </w:r>
      <w:r w:rsidR="00F02E65">
        <w:rPr>
          <w:rFonts w:asciiTheme="minorHAnsi" w:hAnsiTheme="minorHAnsi" w:cs="Arial"/>
          <w:sz w:val="21"/>
          <w:szCs w:val="21"/>
        </w:rPr>
        <w:t>,</w:t>
      </w:r>
      <w:r w:rsidR="000D272C">
        <w:rPr>
          <w:rFonts w:asciiTheme="minorHAnsi" w:hAnsiTheme="minorHAnsi" w:cs="Arial"/>
          <w:sz w:val="21"/>
          <w:szCs w:val="21"/>
        </w:rPr>
        <w:t xml:space="preserve"> para el área de salud</w:t>
      </w:r>
      <w:r w:rsidR="00767044">
        <w:rPr>
          <w:rFonts w:asciiTheme="minorHAnsi" w:hAnsiTheme="minorHAnsi" w:cs="Arial"/>
          <w:sz w:val="21"/>
          <w:szCs w:val="21"/>
        </w:rPr>
        <w:t xml:space="preserve"> y educación,</w:t>
      </w:r>
      <w:r w:rsidR="00F02E65">
        <w:rPr>
          <w:rFonts w:asciiTheme="minorHAnsi" w:hAnsiTheme="minorHAnsi" w:cs="Arial"/>
          <w:sz w:val="21"/>
          <w:szCs w:val="21"/>
        </w:rPr>
        <w:t xml:space="preserve"> efectivamente no se realizaron compras</w:t>
      </w:r>
      <w:r w:rsidR="00767044">
        <w:rPr>
          <w:rFonts w:asciiTheme="minorHAnsi" w:hAnsiTheme="minorHAnsi" w:cs="Arial"/>
          <w:sz w:val="21"/>
          <w:szCs w:val="21"/>
        </w:rPr>
        <w:t xml:space="preserve"> menores a 3 UTM para el periodo fiscalizado. Sin embargo, si se cuenta con cajas chicas, información que </w:t>
      </w:r>
      <w:r w:rsidR="00B51C35">
        <w:rPr>
          <w:rFonts w:asciiTheme="minorHAnsi" w:hAnsiTheme="minorHAnsi" w:cs="Arial"/>
          <w:sz w:val="21"/>
          <w:szCs w:val="21"/>
        </w:rPr>
        <w:t>no había sido levantada y</w:t>
      </w:r>
      <w:r w:rsidR="00767044">
        <w:rPr>
          <w:rFonts w:asciiTheme="minorHAnsi" w:hAnsiTheme="minorHAnsi" w:cs="Arial"/>
          <w:sz w:val="21"/>
          <w:szCs w:val="21"/>
        </w:rPr>
        <w:t xml:space="preserve"> que</w:t>
      </w:r>
      <w:r w:rsidR="00C729EF">
        <w:rPr>
          <w:rFonts w:asciiTheme="minorHAnsi" w:hAnsiTheme="minorHAnsi" w:cs="Arial"/>
          <w:sz w:val="21"/>
          <w:szCs w:val="21"/>
        </w:rPr>
        <w:t>, no</w:t>
      </w:r>
      <w:r w:rsidR="00767044">
        <w:rPr>
          <w:rFonts w:asciiTheme="minorHAnsi" w:hAnsiTheme="minorHAnsi" w:cs="Arial"/>
          <w:sz w:val="21"/>
          <w:szCs w:val="21"/>
        </w:rPr>
        <w:t xml:space="preserve"> había sido observada en fiscalizaciones anteriores. De acuerdo a la presente solicitud de aclaración, se solicitará a las direcciones informar dichos gastos, para ser publicados desde diciembre.</w:t>
      </w:r>
      <w:r w:rsidR="00F02E65">
        <w:rPr>
          <w:rFonts w:asciiTheme="minorHAnsi" w:hAnsiTheme="minorHAnsi" w:cs="Arial"/>
          <w:sz w:val="21"/>
          <w:szCs w:val="21"/>
        </w:rPr>
        <w:t xml:space="preserve"> </w:t>
      </w:r>
    </w:p>
    <w:p w:rsidR="00726EF2" w:rsidRDefault="00726EF2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26640A" w:rsidRDefault="00DF15BC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Otras transferencias, </w:t>
      </w:r>
      <w:r w:rsidR="005325C9">
        <w:rPr>
          <w:rFonts w:asciiTheme="minorHAnsi" w:hAnsiTheme="minorHAnsi" w:cs="Arial"/>
          <w:sz w:val="21"/>
          <w:szCs w:val="21"/>
        </w:rPr>
        <w:t xml:space="preserve">para </w:t>
      </w:r>
      <w:r w:rsidR="00A45DBA">
        <w:rPr>
          <w:rFonts w:asciiTheme="minorHAnsi" w:hAnsiTheme="minorHAnsi" w:cs="Arial"/>
          <w:sz w:val="21"/>
          <w:szCs w:val="21"/>
        </w:rPr>
        <w:t xml:space="preserve">la aclaración se indica que, en el subtítulo 33 “Transferencia de capitales”, </w:t>
      </w:r>
      <w:r w:rsidR="005325C9">
        <w:rPr>
          <w:rFonts w:asciiTheme="minorHAnsi" w:hAnsiTheme="minorHAnsi" w:cs="Arial"/>
          <w:sz w:val="21"/>
          <w:szCs w:val="21"/>
        </w:rPr>
        <w:t xml:space="preserve">no se realizaron </w:t>
      </w:r>
      <w:r w:rsidR="00A45DBA">
        <w:rPr>
          <w:rFonts w:asciiTheme="minorHAnsi" w:hAnsiTheme="minorHAnsi" w:cs="Arial"/>
          <w:sz w:val="21"/>
          <w:szCs w:val="21"/>
        </w:rPr>
        <w:t>movimientos</w:t>
      </w:r>
      <w:r w:rsidR="005325C9">
        <w:rPr>
          <w:rFonts w:asciiTheme="minorHAnsi" w:hAnsiTheme="minorHAnsi" w:cs="Arial"/>
          <w:sz w:val="21"/>
          <w:szCs w:val="21"/>
        </w:rPr>
        <w:t xml:space="preserve"> para el p</w:t>
      </w:r>
      <w:r w:rsidR="00A45DBA">
        <w:rPr>
          <w:rFonts w:asciiTheme="minorHAnsi" w:hAnsiTheme="minorHAnsi" w:cs="Arial"/>
          <w:sz w:val="21"/>
          <w:szCs w:val="21"/>
        </w:rPr>
        <w:t>eriodo indicado.</w:t>
      </w:r>
      <w:r w:rsidR="00C729EF">
        <w:rPr>
          <w:rFonts w:asciiTheme="minorHAnsi" w:hAnsiTheme="minorHAnsi" w:cs="Arial"/>
          <w:sz w:val="21"/>
          <w:szCs w:val="21"/>
        </w:rPr>
        <w:t xml:space="preserve"> </w:t>
      </w:r>
      <w:r w:rsidR="00A45DBA">
        <w:rPr>
          <w:rFonts w:asciiTheme="minorHAnsi" w:hAnsiTheme="minorHAnsi" w:cs="Arial"/>
          <w:sz w:val="21"/>
          <w:szCs w:val="21"/>
        </w:rPr>
        <w:t>S</w:t>
      </w:r>
      <w:r w:rsidR="00C729EF">
        <w:rPr>
          <w:rFonts w:asciiTheme="minorHAnsi" w:hAnsiTheme="minorHAnsi" w:cs="Arial"/>
          <w:sz w:val="21"/>
          <w:szCs w:val="21"/>
        </w:rPr>
        <w:t xml:space="preserve">in embargo, </w:t>
      </w:r>
      <w:r w:rsidR="003D7909" w:rsidRPr="003D7909">
        <w:rPr>
          <w:rFonts w:asciiTheme="minorHAnsi" w:hAnsiTheme="minorHAnsi" w:cs="Arial"/>
          <w:sz w:val="21"/>
          <w:szCs w:val="21"/>
        </w:rPr>
        <w:t>en el subtítulo 24 "</w:t>
      </w:r>
      <w:proofErr w:type="spellStart"/>
      <w:r w:rsidR="003D7909" w:rsidRPr="003D7909">
        <w:rPr>
          <w:rFonts w:asciiTheme="minorHAnsi" w:hAnsiTheme="minorHAnsi" w:cs="Arial"/>
          <w:sz w:val="21"/>
          <w:szCs w:val="21"/>
        </w:rPr>
        <w:t>cxp</w:t>
      </w:r>
      <w:proofErr w:type="spellEnd"/>
      <w:r w:rsidR="003D7909" w:rsidRPr="003D7909">
        <w:rPr>
          <w:rFonts w:asciiTheme="minorHAnsi" w:hAnsiTheme="minorHAnsi" w:cs="Arial"/>
          <w:sz w:val="21"/>
          <w:szCs w:val="21"/>
        </w:rPr>
        <w:t xml:space="preserve"> transfe</w:t>
      </w:r>
      <w:r w:rsidR="003D7909">
        <w:rPr>
          <w:rFonts w:asciiTheme="minorHAnsi" w:hAnsiTheme="minorHAnsi" w:cs="Arial"/>
          <w:sz w:val="21"/>
          <w:szCs w:val="21"/>
        </w:rPr>
        <w:t>rencias corrientes", sí</w:t>
      </w:r>
      <w:r w:rsidR="003D7909" w:rsidRPr="003D7909">
        <w:rPr>
          <w:rFonts w:asciiTheme="minorHAnsi" w:hAnsiTheme="minorHAnsi" w:cs="Arial"/>
          <w:sz w:val="21"/>
          <w:szCs w:val="21"/>
        </w:rPr>
        <w:t xml:space="preserve"> hubo movi</w:t>
      </w:r>
      <w:r w:rsidR="004A730F">
        <w:rPr>
          <w:rFonts w:asciiTheme="minorHAnsi" w:hAnsiTheme="minorHAnsi" w:cs="Arial"/>
          <w:sz w:val="21"/>
          <w:szCs w:val="21"/>
        </w:rPr>
        <w:t xml:space="preserve">miento: </w:t>
      </w:r>
      <w:r w:rsidR="00A45DBA">
        <w:rPr>
          <w:rFonts w:asciiTheme="minorHAnsi" w:hAnsiTheme="minorHAnsi" w:cs="Arial"/>
          <w:sz w:val="21"/>
          <w:szCs w:val="21"/>
        </w:rPr>
        <w:t>(Fondo Común Municipal </w:t>
      </w:r>
      <w:r w:rsidR="003D7909" w:rsidRPr="003D7909">
        <w:rPr>
          <w:rFonts w:asciiTheme="minorHAnsi" w:hAnsiTheme="minorHAnsi" w:cs="Arial"/>
          <w:sz w:val="21"/>
          <w:szCs w:val="21"/>
        </w:rPr>
        <w:t>- Multa Ley de Alcoholes)</w:t>
      </w:r>
      <w:r w:rsidR="00A45DBA">
        <w:rPr>
          <w:rFonts w:asciiTheme="minorHAnsi" w:hAnsiTheme="minorHAnsi" w:cs="Arial"/>
          <w:sz w:val="21"/>
          <w:szCs w:val="21"/>
        </w:rPr>
        <w:t xml:space="preserve"> y al</w:t>
      </w:r>
      <w:r w:rsidR="003D7909" w:rsidRPr="003D7909">
        <w:rPr>
          <w:rFonts w:asciiTheme="minorHAnsi" w:hAnsiTheme="minorHAnsi" w:cs="Arial"/>
          <w:sz w:val="21"/>
          <w:szCs w:val="21"/>
        </w:rPr>
        <w:t xml:space="preserve"> </w:t>
      </w:r>
      <w:r w:rsidR="004A730F">
        <w:rPr>
          <w:rFonts w:asciiTheme="minorHAnsi" w:hAnsiTheme="minorHAnsi" w:cs="Arial"/>
          <w:sz w:val="21"/>
          <w:szCs w:val="21"/>
        </w:rPr>
        <w:t>(</w:t>
      </w:r>
      <w:r w:rsidR="003D7909" w:rsidRPr="003D7909">
        <w:rPr>
          <w:rFonts w:asciiTheme="minorHAnsi" w:hAnsiTheme="minorHAnsi" w:cs="Arial"/>
          <w:sz w:val="21"/>
          <w:szCs w:val="21"/>
        </w:rPr>
        <w:t>sector privado / fondos de emergencia /Asistencia social a personas naturales / premios y otros / subvenciones</w:t>
      </w:r>
      <w:r w:rsidR="004A730F">
        <w:rPr>
          <w:rFonts w:asciiTheme="minorHAnsi" w:hAnsiTheme="minorHAnsi" w:cs="Arial"/>
          <w:sz w:val="21"/>
          <w:szCs w:val="21"/>
        </w:rPr>
        <w:t>).</w:t>
      </w:r>
    </w:p>
    <w:p w:rsidR="003D7909" w:rsidRDefault="003D7909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26640A" w:rsidRDefault="0026640A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Actos y resoluciones con efectos sobre terceros, </w:t>
      </w:r>
      <w:r w:rsidR="003235D2">
        <w:rPr>
          <w:rFonts w:asciiTheme="minorHAnsi" w:hAnsiTheme="minorHAnsi" w:cs="Arial"/>
          <w:sz w:val="21"/>
          <w:szCs w:val="21"/>
        </w:rPr>
        <w:t>si bien existe la observación que uno o más textos íntegros no se encuentran disponibles al momento de la fiscalización, no hay indicación sobre cu</w:t>
      </w:r>
      <w:r w:rsidR="00F738CA">
        <w:rPr>
          <w:rFonts w:asciiTheme="minorHAnsi" w:hAnsiTheme="minorHAnsi" w:cs="Arial"/>
          <w:sz w:val="21"/>
          <w:szCs w:val="21"/>
        </w:rPr>
        <w:t>á</w:t>
      </w:r>
      <w:r w:rsidR="003235D2">
        <w:rPr>
          <w:rFonts w:asciiTheme="minorHAnsi" w:hAnsiTheme="minorHAnsi" w:cs="Arial"/>
          <w:sz w:val="21"/>
          <w:szCs w:val="21"/>
        </w:rPr>
        <w:t xml:space="preserve">les. En este caso, existió inconveniente, puesto que </w:t>
      </w:r>
      <w:r w:rsidR="00F7442D">
        <w:rPr>
          <w:rFonts w:asciiTheme="minorHAnsi" w:hAnsiTheme="minorHAnsi" w:cs="Arial"/>
          <w:sz w:val="21"/>
          <w:szCs w:val="21"/>
        </w:rPr>
        <w:t xml:space="preserve">el servidor sobre el cual se enlazan dichos textos realizó </w:t>
      </w:r>
      <w:r w:rsidR="003F5BDA">
        <w:rPr>
          <w:rFonts w:asciiTheme="minorHAnsi" w:hAnsiTheme="minorHAnsi" w:cs="Arial"/>
          <w:sz w:val="21"/>
          <w:szCs w:val="21"/>
        </w:rPr>
        <w:t>actualizaciones de seguridad, los cuales fueron modificados a partir del 23 de septiembre por parte de la Unidad de Transparencia Municipal</w:t>
      </w:r>
      <w:r w:rsidR="00371BCE">
        <w:rPr>
          <w:rFonts w:asciiTheme="minorHAnsi" w:hAnsiTheme="minorHAnsi" w:cs="Arial"/>
          <w:sz w:val="21"/>
          <w:szCs w:val="21"/>
        </w:rPr>
        <w:t>, quedando subsanados al mes de octubre de 2021</w:t>
      </w:r>
      <w:r w:rsidR="003F5BDA">
        <w:rPr>
          <w:rFonts w:asciiTheme="minorHAnsi" w:hAnsiTheme="minorHAnsi" w:cs="Arial"/>
          <w:sz w:val="21"/>
          <w:szCs w:val="21"/>
        </w:rPr>
        <w:t>. A mayor abundamiento y debido a dicha actualización, fuera de las comp</w:t>
      </w:r>
      <w:r w:rsidR="0019200D">
        <w:rPr>
          <w:rFonts w:asciiTheme="minorHAnsi" w:hAnsiTheme="minorHAnsi" w:cs="Arial"/>
          <w:sz w:val="21"/>
          <w:szCs w:val="21"/>
        </w:rPr>
        <w:t>etencias municipales, al ser una institución no gubernamental sobre la que no existe relación comercial, se opta por levantar los textos íntegros de nuestras publicaciones a nuestro servidor municipal. Acción que se comenzó con las public</w:t>
      </w:r>
      <w:r w:rsidR="00F738CA">
        <w:rPr>
          <w:rFonts w:asciiTheme="minorHAnsi" w:hAnsiTheme="minorHAnsi" w:cs="Arial"/>
          <w:sz w:val="21"/>
          <w:szCs w:val="21"/>
        </w:rPr>
        <w:t>ac</w:t>
      </w:r>
      <w:r w:rsidR="0019200D">
        <w:rPr>
          <w:rFonts w:asciiTheme="minorHAnsi" w:hAnsiTheme="minorHAnsi" w:cs="Arial"/>
          <w:sz w:val="21"/>
          <w:szCs w:val="21"/>
        </w:rPr>
        <w:t>iones del mes de</w:t>
      </w:r>
      <w:r w:rsidR="00F738CA">
        <w:rPr>
          <w:rFonts w:asciiTheme="minorHAnsi" w:hAnsiTheme="minorHAnsi" w:cs="Arial"/>
          <w:sz w:val="21"/>
          <w:szCs w:val="21"/>
        </w:rPr>
        <w:t xml:space="preserve"> septiembre, y que se ha ido ac</w:t>
      </w:r>
      <w:r w:rsidR="0019200D">
        <w:rPr>
          <w:rFonts w:asciiTheme="minorHAnsi" w:hAnsiTheme="minorHAnsi" w:cs="Arial"/>
          <w:sz w:val="21"/>
          <w:szCs w:val="21"/>
        </w:rPr>
        <w:t>t</w:t>
      </w:r>
      <w:r w:rsidR="00F738CA">
        <w:rPr>
          <w:rFonts w:asciiTheme="minorHAnsi" w:hAnsiTheme="minorHAnsi" w:cs="Arial"/>
          <w:sz w:val="21"/>
          <w:szCs w:val="21"/>
        </w:rPr>
        <w:t>u</w:t>
      </w:r>
      <w:r w:rsidR="0019200D">
        <w:rPr>
          <w:rFonts w:asciiTheme="minorHAnsi" w:hAnsiTheme="minorHAnsi" w:cs="Arial"/>
          <w:sz w:val="21"/>
          <w:szCs w:val="21"/>
        </w:rPr>
        <w:t>alizando paulatinamente debido al alto número de actos que implica dicho ítem.</w:t>
      </w:r>
    </w:p>
    <w:p w:rsidR="00E5510B" w:rsidRPr="00E5510B" w:rsidRDefault="00E5510B" w:rsidP="00E5510B">
      <w:pPr>
        <w:spacing w:line="276" w:lineRule="auto"/>
        <w:jc w:val="both"/>
        <w:rPr>
          <w:rFonts w:asciiTheme="minorHAnsi" w:hAnsiTheme="minorHAnsi" w:cs="Arial"/>
          <w:sz w:val="21"/>
          <w:szCs w:val="21"/>
          <w:lang w:val="es-CL"/>
        </w:rPr>
      </w:pPr>
      <w:r>
        <w:rPr>
          <w:rFonts w:asciiTheme="minorHAnsi" w:hAnsiTheme="minorHAnsi" w:cs="Arial"/>
          <w:sz w:val="21"/>
          <w:szCs w:val="21"/>
        </w:rPr>
        <w:t xml:space="preserve">Por otra parte, </w:t>
      </w:r>
      <w:r w:rsidR="005326DA">
        <w:rPr>
          <w:rFonts w:asciiTheme="minorHAnsi" w:hAnsiTheme="minorHAnsi" w:cs="Arial"/>
          <w:sz w:val="21"/>
          <w:szCs w:val="21"/>
          <w:lang w:val="es-CL"/>
        </w:rPr>
        <w:t>referente al enlace de la Ordenanza de Participación ciudadana, los archivos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históricos de transparencia al que hace referencia el link siempre han estado disponibles en nuestros servidores. </w:t>
      </w:r>
      <w:r w:rsidR="00EB16A5">
        <w:rPr>
          <w:rFonts w:asciiTheme="minorHAnsi" w:hAnsiTheme="minorHAnsi" w:cs="Arial"/>
          <w:sz w:val="21"/>
          <w:szCs w:val="21"/>
          <w:lang w:val="es-CL"/>
        </w:rPr>
        <w:t>Sin embargo, a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finales de Septiembre del 2021 tu</w:t>
      </w:r>
      <w:r w:rsidR="00EB16A5">
        <w:rPr>
          <w:rFonts w:asciiTheme="minorHAnsi" w:hAnsiTheme="minorHAnsi" w:cs="Arial"/>
          <w:sz w:val="21"/>
          <w:szCs w:val="21"/>
          <w:lang w:val="es-CL"/>
        </w:rPr>
        <w:t>vimos problemas técnicos varios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, en </w:t>
      </w:r>
      <w:r w:rsidR="00EB16A5" w:rsidRPr="00E5510B">
        <w:rPr>
          <w:rFonts w:asciiTheme="minorHAnsi" w:hAnsiTheme="minorHAnsi" w:cs="Arial"/>
          <w:sz w:val="21"/>
          <w:szCs w:val="21"/>
          <w:lang w:val="es-CL"/>
        </w:rPr>
        <w:t>específico</w:t>
      </w:r>
      <w:r w:rsidR="00EB16A5">
        <w:rPr>
          <w:rFonts w:asciiTheme="minorHAnsi" w:hAnsiTheme="minorHAnsi" w:cs="Arial"/>
          <w:sz w:val="21"/>
          <w:szCs w:val="21"/>
          <w:lang w:val="es-CL"/>
        </w:rPr>
        <w:t>, con nuestra maquina firewall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, lo que nos </w:t>
      </w:r>
      <w:r w:rsidR="00EB16A5" w:rsidRPr="00E5510B">
        <w:rPr>
          <w:rFonts w:asciiTheme="minorHAnsi" w:hAnsiTheme="minorHAnsi" w:cs="Arial"/>
          <w:sz w:val="21"/>
          <w:szCs w:val="21"/>
          <w:lang w:val="es-CL"/>
        </w:rPr>
        <w:t>obligó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a emigrar a un </w:t>
      </w:r>
      <w:r w:rsidR="00EB16A5">
        <w:rPr>
          <w:rFonts w:asciiTheme="minorHAnsi" w:hAnsiTheme="minorHAnsi" w:cs="Arial"/>
          <w:sz w:val="21"/>
          <w:szCs w:val="21"/>
          <w:lang w:val="es-CL"/>
        </w:rPr>
        <w:t>sistema firewall de emergencia,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en esa migración tuvimos intermitencias en servicios como </w:t>
      </w:r>
      <w:r w:rsidR="00EB16A5" w:rsidRPr="00E5510B">
        <w:rPr>
          <w:rFonts w:asciiTheme="minorHAnsi" w:hAnsiTheme="minorHAnsi" w:cs="Arial"/>
          <w:sz w:val="21"/>
          <w:szCs w:val="21"/>
          <w:lang w:val="es-CL"/>
        </w:rPr>
        <w:t>páginas</w:t>
      </w:r>
      <w:r w:rsidR="00EB16A5">
        <w:rPr>
          <w:rFonts w:asciiTheme="minorHAnsi" w:hAnsiTheme="minorHAnsi" w:cs="Arial"/>
          <w:sz w:val="21"/>
          <w:szCs w:val="21"/>
          <w:lang w:val="es-CL"/>
        </w:rPr>
        <w:t xml:space="preserve"> web y correos, debido a que nuestra má</w:t>
      </w:r>
      <w:r w:rsidRPr="00E5510B">
        <w:rPr>
          <w:rFonts w:asciiTheme="minorHAnsi" w:hAnsiTheme="minorHAnsi" w:cs="Arial"/>
          <w:sz w:val="21"/>
          <w:szCs w:val="21"/>
          <w:lang w:val="es-CL"/>
        </w:rPr>
        <w:t>quina de proxy inverso que es la encargada d</w:t>
      </w:r>
      <w:r w:rsidR="00A33724">
        <w:rPr>
          <w:rFonts w:asciiTheme="minorHAnsi" w:hAnsiTheme="minorHAnsi" w:cs="Arial"/>
          <w:sz w:val="21"/>
          <w:szCs w:val="21"/>
          <w:lang w:val="es-CL"/>
        </w:rPr>
        <w:t>e resolver y dirigir a dominios, sub dominios</w:t>
      </w:r>
      <w:r w:rsidRPr="00E5510B">
        <w:rPr>
          <w:rFonts w:asciiTheme="minorHAnsi" w:hAnsiTheme="minorHAnsi" w:cs="Arial"/>
          <w:sz w:val="21"/>
          <w:szCs w:val="21"/>
          <w:lang w:val="es-CL"/>
        </w:rPr>
        <w:t>, re-direcci</w:t>
      </w:r>
      <w:r w:rsidR="00A33724">
        <w:rPr>
          <w:rFonts w:asciiTheme="minorHAnsi" w:hAnsiTheme="minorHAnsi" w:cs="Arial"/>
          <w:sz w:val="21"/>
          <w:szCs w:val="21"/>
          <w:lang w:val="es-CL"/>
        </w:rPr>
        <w:t>ones y errores,  tuvo un cruc</w:t>
      </w:r>
      <w:r w:rsidRPr="00E5510B">
        <w:rPr>
          <w:rFonts w:asciiTheme="minorHAnsi" w:hAnsiTheme="minorHAnsi" w:cs="Arial"/>
          <w:sz w:val="21"/>
          <w:szCs w:val="21"/>
          <w:lang w:val="es-CL"/>
        </w:rPr>
        <w:t>e con la configuración de nuest</w:t>
      </w:r>
      <w:r w:rsidR="00A33724">
        <w:rPr>
          <w:rFonts w:asciiTheme="minorHAnsi" w:hAnsiTheme="minorHAnsi" w:cs="Arial"/>
          <w:sz w:val="21"/>
          <w:szCs w:val="21"/>
          <w:lang w:val="es-CL"/>
        </w:rPr>
        <w:t>ro firewall nuevo de emergencia</w:t>
      </w:r>
      <w:r w:rsidRPr="00E5510B">
        <w:rPr>
          <w:rFonts w:asciiTheme="minorHAnsi" w:hAnsiTheme="minorHAnsi" w:cs="Arial"/>
          <w:sz w:val="21"/>
          <w:szCs w:val="21"/>
          <w:lang w:val="es-CL"/>
        </w:rPr>
        <w:t>, dejando sin acceso a subdominios como transparencia</w:t>
      </w:r>
      <w:r w:rsidR="00A33724">
        <w:rPr>
          <w:rFonts w:asciiTheme="minorHAnsi" w:hAnsiTheme="minorHAnsi" w:cs="Arial"/>
          <w:sz w:val="21"/>
          <w:szCs w:val="21"/>
          <w:lang w:val="es-CL"/>
        </w:rPr>
        <w:t>,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debido a mal apunte de direccionamiento </w:t>
      </w:r>
      <w:proofErr w:type="spellStart"/>
      <w:r w:rsidRPr="00E5510B">
        <w:rPr>
          <w:rFonts w:asciiTheme="minorHAnsi" w:hAnsiTheme="minorHAnsi" w:cs="Arial"/>
          <w:sz w:val="21"/>
          <w:szCs w:val="21"/>
          <w:lang w:val="es-CL"/>
        </w:rPr>
        <w:t>ip</w:t>
      </w:r>
      <w:proofErr w:type="spellEnd"/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. Cabe destacar que no ha habido intención de </w:t>
      </w:r>
      <w:r w:rsidRPr="00E5510B">
        <w:rPr>
          <w:rFonts w:asciiTheme="minorHAnsi" w:hAnsiTheme="minorHAnsi" w:cs="Arial"/>
          <w:sz w:val="21"/>
          <w:szCs w:val="21"/>
          <w:lang w:val="es-CL"/>
        </w:rPr>
        <w:lastRenderedPageBreak/>
        <w:t xml:space="preserve">restringir acceso a la información de </w:t>
      </w:r>
      <w:r w:rsidR="00A33724" w:rsidRPr="00E5510B">
        <w:rPr>
          <w:rFonts w:asciiTheme="minorHAnsi" w:hAnsiTheme="minorHAnsi" w:cs="Arial"/>
          <w:sz w:val="21"/>
          <w:szCs w:val="21"/>
          <w:lang w:val="es-CL"/>
        </w:rPr>
        <w:t>transparencia,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</w:t>
      </w:r>
      <w:r w:rsidR="00A33724" w:rsidRPr="00E5510B">
        <w:rPr>
          <w:rFonts w:asciiTheme="minorHAnsi" w:hAnsiTheme="minorHAnsi" w:cs="Arial"/>
          <w:sz w:val="21"/>
          <w:szCs w:val="21"/>
          <w:lang w:val="es-CL"/>
        </w:rPr>
        <w:t>sino</w:t>
      </w:r>
      <w:r w:rsidRPr="00E5510B">
        <w:rPr>
          <w:rFonts w:asciiTheme="minorHAnsi" w:hAnsiTheme="minorHAnsi" w:cs="Arial"/>
          <w:sz w:val="21"/>
          <w:szCs w:val="21"/>
          <w:lang w:val="es-CL"/>
        </w:rPr>
        <w:t xml:space="preserve"> </w:t>
      </w:r>
      <w:r w:rsidR="00A33724" w:rsidRPr="00E5510B">
        <w:rPr>
          <w:rFonts w:asciiTheme="minorHAnsi" w:hAnsiTheme="minorHAnsi" w:cs="Arial"/>
          <w:sz w:val="21"/>
          <w:szCs w:val="21"/>
          <w:lang w:val="es-CL"/>
        </w:rPr>
        <w:t>más</w:t>
      </w:r>
      <w:r w:rsidR="00A33724">
        <w:rPr>
          <w:rFonts w:asciiTheme="minorHAnsi" w:hAnsiTheme="minorHAnsi" w:cs="Arial"/>
          <w:sz w:val="21"/>
          <w:szCs w:val="21"/>
          <w:lang w:val="es-CL"/>
        </w:rPr>
        <w:t xml:space="preserve"> bien</w:t>
      </w:r>
      <w:r w:rsidRPr="00E5510B">
        <w:rPr>
          <w:rFonts w:asciiTheme="minorHAnsi" w:hAnsiTheme="minorHAnsi" w:cs="Arial"/>
          <w:sz w:val="21"/>
          <w:szCs w:val="21"/>
          <w:lang w:val="es-CL"/>
        </w:rPr>
        <w:t>, fue un problema técnico que fue solucionado en su momento. </w:t>
      </w:r>
    </w:p>
    <w:p w:rsidR="00E5510B" w:rsidRDefault="002B3AD6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En este mismo ítem, existen tipologías que no han sido actualizadas durante esos periodos, como es el caso del Plan de Desarrollo Comunal, </w:t>
      </w:r>
      <w:r w:rsidR="004A4685">
        <w:rPr>
          <w:rFonts w:asciiTheme="minorHAnsi" w:hAnsiTheme="minorHAnsi" w:cs="Arial"/>
          <w:sz w:val="21"/>
          <w:szCs w:val="21"/>
        </w:rPr>
        <w:t>concursos públicos, ordenanzas y otros casos,</w:t>
      </w:r>
      <w:r w:rsidR="00007878">
        <w:rPr>
          <w:rFonts w:asciiTheme="minorHAnsi" w:hAnsiTheme="minorHAnsi" w:cs="Arial"/>
          <w:sz w:val="21"/>
          <w:szCs w:val="21"/>
        </w:rPr>
        <w:t xml:space="preserve"> debido a que</w:t>
      </w:r>
      <w:r w:rsidR="004A4685">
        <w:rPr>
          <w:rFonts w:asciiTheme="minorHAnsi" w:hAnsiTheme="minorHAnsi" w:cs="Arial"/>
          <w:sz w:val="21"/>
          <w:szCs w:val="21"/>
        </w:rPr>
        <w:t xml:space="preserve">, no hay información a actualizar o publicar. </w:t>
      </w:r>
    </w:p>
    <w:p w:rsidR="004A4685" w:rsidRPr="00501C08" w:rsidRDefault="004A4685" w:rsidP="00AB6ED6">
      <w:p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501C08" w:rsidRDefault="0065131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De acuerdo a lo anterior, y al constante compromiso que se tiene con materias como transparencia, se solicita considerar las subsanaciones realizadas y </w:t>
      </w:r>
      <w:r w:rsidR="0020310A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en especial, considerar que el ítem </w:t>
      </w:r>
      <w:r w:rsidR="00007878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“Actos y resoluciones con efectos sobre terceros” d</w:t>
      </w:r>
      <w:r w:rsidR="0020310A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e la normativa, es un ítem que involucra la publicación de actos desde el año 2009, en cuyo tiempo muchos de los instrumentos utilizados no eran electrónicos, lo que nos lleva a la búsqueda física de documentación constante para ir actualizando dichos ítem y nutriéndolos de la información que la normativa vigente</w:t>
      </w:r>
      <w:r w:rsidR="004C71D0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,</w:t>
      </w:r>
      <w:r w:rsidR="0020310A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 exige, en particular, a los concursos públicos del año 2009 y 2010.</w:t>
      </w:r>
    </w:p>
    <w:p w:rsidR="00B4615D" w:rsidRPr="00501C08" w:rsidRDefault="00B4615D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562C46" w:rsidRDefault="007D3DC2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Sin otro particular, s</w:t>
      </w:r>
      <w:r w:rsidR="009A4468" w:rsidRPr="00501C08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 xml:space="preserve">aluda atentamente, </w:t>
      </w:r>
    </w:p>
    <w:p w:rsidR="007D3DC2" w:rsidRDefault="007D3DC2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D3DC2" w:rsidRDefault="007D3DC2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D3DC2" w:rsidRDefault="007D3DC2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7D3DC2" w:rsidRPr="00501C08" w:rsidRDefault="007D3DC2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bookmarkStart w:id="0" w:name="_GoBack"/>
      <w:bookmarkEnd w:id="0"/>
    </w:p>
    <w:p w:rsidR="0021350E" w:rsidRDefault="00E165B0" w:rsidP="00072BA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sz w:val="21"/>
          <w:szCs w:val="21"/>
        </w:rPr>
        <w:tab/>
      </w:r>
    </w:p>
    <w:p w:rsidR="0021350E" w:rsidRPr="00501C08" w:rsidRDefault="0021350E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</w:p>
    <w:p w:rsidR="00E165B0" w:rsidRPr="00501C08" w:rsidRDefault="009B5915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FRANCISCO RIQUELME LOPEZ</w:t>
      </w:r>
    </w:p>
    <w:p w:rsidR="00E165B0" w:rsidRPr="00501C08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501C08">
        <w:rPr>
          <w:rFonts w:asciiTheme="minorHAnsi" w:hAnsiTheme="minorHAnsi" w:cs="Arial"/>
          <w:b/>
          <w:sz w:val="21"/>
          <w:szCs w:val="21"/>
        </w:rPr>
        <w:t>Alcalde</w:t>
      </w:r>
      <w:r w:rsidR="00817D25" w:rsidRPr="00501C08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01C08">
        <w:rPr>
          <w:rFonts w:asciiTheme="minorHAnsi" w:hAnsiTheme="minorHAnsi" w:cs="Arial"/>
          <w:b/>
          <w:sz w:val="21"/>
          <w:szCs w:val="21"/>
        </w:rPr>
        <w:t>de Casablanca</w:t>
      </w:r>
    </w:p>
    <w:p w:rsidR="0021350E" w:rsidRDefault="0021350E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D3DC2" w:rsidRDefault="007D3DC2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D3DC2" w:rsidRDefault="007D3DC2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994D13" w:rsidRDefault="00566808" w:rsidP="00EE0C0B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501C08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501C08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AE083F" w:rsidRDefault="00994D13" w:rsidP="00994D13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994D13">
        <w:rPr>
          <w:rFonts w:asciiTheme="minorHAnsi" w:hAnsiTheme="minorHAnsi" w:cs="Arial"/>
          <w:bCs/>
          <w:sz w:val="18"/>
          <w:szCs w:val="18"/>
        </w:rPr>
        <w:t>1. Héctor Moraga Chávez, Director de Fiscalización, CPLT.</w:t>
      </w:r>
    </w:p>
    <w:p w:rsidR="0013179D" w:rsidRDefault="00994D13" w:rsidP="00994D13">
      <w:pPr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 xml:space="preserve">2. </w:t>
      </w:r>
      <w:r w:rsidR="0013179D">
        <w:rPr>
          <w:rFonts w:asciiTheme="minorHAnsi" w:hAnsiTheme="minorHAnsi" w:cs="Arial"/>
          <w:bCs/>
          <w:sz w:val="18"/>
          <w:szCs w:val="18"/>
        </w:rPr>
        <w:t>Alcaldía.</w:t>
      </w:r>
    </w:p>
    <w:p w:rsidR="0013179D" w:rsidRDefault="0013179D" w:rsidP="00994D13">
      <w:pPr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3. Archivo Oficina de Partes.</w:t>
      </w:r>
    </w:p>
    <w:p w:rsidR="0013179D" w:rsidRPr="00994D13" w:rsidRDefault="00B51C35" w:rsidP="00994D13">
      <w:pPr>
        <w:jc w:val="both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FRL/LPA/</w:t>
      </w:r>
      <w:proofErr w:type="spellStart"/>
      <w:r>
        <w:rPr>
          <w:rFonts w:asciiTheme="minorHAnsi" w:hAnsiTheme="minorHAnsi" w:cs="Arial"/>
          <w:bCs/>
          <w:sz w:val="18"/>
          <w:szCs w:val="18"/>
        </w:rPr>
        <w:t>lpa</w:t>
      </w:r>
      <w:proofErr w:type="spellEnd"/>
    </w:p>
    <w:sectPr w:rsidR="0013179D" w:rsidRPr="00994D13" w:rsidSect="007D20B5">
      <w:headerReference w:type="default" r:id="rId7"/>
      <w:footerReference w:type="default" r:id="rId8"/>
      <w:pgSz w:w="12240" w:h="18720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69" w:rsidRDefault="00EF6469" w:rsidP="00566808">
      <w:r>
        <w:separator/>
      </w:r>
    </w:p>
  </w:endnote>
  <w:endnote w:type="continuationSeparator" w:id="0">
    <w:p w:rsidR="00EF6469" w:rsidRDefault="00EF6469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9B5915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950FA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69" w:rsidRDefault="00EF6469" w:rsidP="00566808">
      <w:r>
        <w:separator/>
      </w:r>
    </w:p>
  </w:footnote>
  <w:footnote w:type="continuationSeparator" w:id="0">
    <w:p w:rsidR="00EF6469" w:rsidRDefault="00EF6469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22754">
    <w:pPr>
      <w:pStyle w:val="Encabezado"/>
      <w:rPr>
        <w:lang w:val="es-ES"/>
      </w:rPr>
    </w:pPr>
    <w:r w:rsidRPr="00FD201F">
      <w:rPr>
        <w:noProof/>
        <w:lang w:val="es-CL" w:eastAsia="es-CL"/>
      </w:rPr>
      <w:drawing>
        <wp:inline distT="0" distB="0" distL="0" distR="0" wp14:anchorId="07443BA4" wp14:editId="5FB0ACB0">
          <wp:extent cx="2767787" cy="1152525"/>
          <wp:effectExtent l="0" t="0" r="0" b="0"/>
          <wp:docPr id="10" name="Imagen 10" descr="C:\Users\lbustamante\Documents\Mis Documentos\Secretaría Municipal\Escudo Municipal\logo sin tierra con historia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bustamante\Documents\Mis Documentos\Secretaría Municipal\Escudo Municipal\logo sin tierra con historia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129" cy="1161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C6D"/>
    <w:multiLevelType w:val="hybridMultilevel"/>
    <w:tmpl w:val="69BE1B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07878"/>
    <w:rsid w:val="000152A7"/>
    <w:rsid w:val="00022314"/>
    <w:rsid w:val="00036933"/>
    <w:rsid w:val="0004206D"/>
    <w:rsid w:val="00043D26"/>
    <w:rsid w:val="00064FEC"/>
    <w:rsid w:val="00072BA0"/>
    <w:rsid w:val="00082BD6"/>
    <w:rsid w:val="000844C9"/>
    <w:rsid w:val="000862E9"/>
    <w:rsid w:val="000A0881"/>
    <w:rsid w:val="000A79D2"/>
    <w:rsid w:val="000B3C40"/>
    <w:rsid w:val="000B4765"/>
    <w:rsid w:val="000C0984"/>
    <w:rsid w:val="000D26F6"/>
    <w:rsid w:val="000D272C"/>
    <w:rsid w:val="000E3B89"/>
    <w:rsid w:val="000F4F64"/>
    <w:rsid w:val="000F54CD"/>
    <w:rsid w:val="00100C28"/>
    <w:rsid w:val="00103607"/>
    <w:rsid w:val="00104E38"/>
    <w:rsid w:val="0013179D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9200D"/>
    <w:rsid w:val="001A0204"/>
    <w:rsid w:val="001A2643"/>
    <w:rsid w:val="001B05F8"/>
    <w:rsid w:val="001B1814"/>
    <w:rsid w:val="001B4F1F"/>
    <w:rsid w:val="001C4626"/>
    <w:rsid w:val="001D236E"/>
    <w:rsid w:val="001D31F0"/>
    <w:rsid w:val="0020310A"/>
    <w:rsid w:val="0021350E"/>
    <w:rsid w:val="002437E4"/>
    <w:rsid w:val="00245DED"/>
    <w:rsid w:val="00255C9F"/>
    <w:rsid w:val="0026640A"/>
    <w:rsid w:val="00267214"/>
    <w:rsid w:val="00296108"/>
    <w:rsid w:val="002A0A56"/>
    <w:rsid w:val="002B3AD6"/>
    <w:rsid w:val="002B760E"/>
    <w:rsid w:val="002B787F"/>
    <w:rsid w:val="002C1C43"/>
    <w:rsid w:val="002D30FF"/>
    <w:rsid w:val="002E30CC"/>
    <w:rsid w:val="002E66E0"/>
    <w:rsid w:val="003235D2"/>
    <w:rsid w:val="003406B3"/>
    <w:rsid w:val="0034354E"/>
    <w:rsid w:val="00350721"/>
    <w:rsid w:val="00371BCE"/>
    <w:rsid w:val="00374FA0"/>
    <w:rsid w:val="003819C8"/>
    <w:rsid w:val="003A2DD8"/>
    <w:rsid w:val="003B256E"/>
    <w:rsid w:val="003D4D07"/>
    <w:rsid w:val="003D4EC6"/>
    <w:rsid w:val="003D7909"/>
    <w:rsid w:val="003E6D57"/>
    <w:rsid w:val="003F5BDA"/>
    <w:rsid w:val="004510E6"/>
    <w:rsid w:val="00456D0E"/>
    <w:rsid w:val="00464F2A"/>
    <w:rsid w:val="004907B5"/>
    <w:rsid w:val="004A05C8"/>
    <w:rsid w:val="004A4685"/>
    <w:rsid w:val="004A730F"/>
    <w:rsid w:val="004A7CCE"/>
    <w:rsid w:val="004C71D0"/>
    <w:rsid w:val="004D0F75"/>
    <w:rsid w:val="004D6321"/>
    <w:rsid w:val="004E727F"/>
    <w:rsid w:val="004E7312"/>
    <w:rsid w:val="00501C08"/>
    <w:rsid w:val="005128B1"/>
    <w:rsid w:val="00513D18"/>
    <w:rsid w:val="00521C48"/>
    <w:rsid w:val="00523C75"/>
    <w:rsid w:val="00524DA3"/>
    <w:rsid w:val="00525FBF"/>
    <w:rsid w:val="005325C9"/>
    <w:rsid w:val="005326DA"/>
    <w:rsid w:val="0053564E"/>
    <w:rsid w:val="0054594F"/>
    <w:rsid w:val="005509D5"/>
    <w:rsid w:val="00552476"/>
    <w:rsid w:val="00562698"/>
    <w:rsid w:val="00562C46"/>
    <w:rsid w:val="00566808"/>
    <w:rsid w:val="005A168A"/>
    <w:rsid w:val="005C68A9"/>
    <w:rsid w:val="005D5064"/>
    <w:rsid w:val="005E2332"/>
    <w:rsid w:val="00602596"/>
    <w:rsid w:val="00611562"/>
    <w:rsid w:val="0061210F"/>
    <w:rsid w:val="00615DB1"/>
    <w:rsid w:val="006271D8"/>
    <w:rsid w:val="0063751D"/>
    <w:rsid w:val="00637A35"/>
    <w:rsid w:val="00642497"/>
    <w:rsid w:val="00645A0A"/>
    <w:rsid w:val="00646EFC"/>
    <w:rsid w:val="00651318"/>
    <w:rsid w:val="006546CD"/>
    <w:rsid w:val="00664135"/>
    <w:rsid w:val="00671B81"/>
    <w:rsid w:val="0067711B"/>
    <w:rsid w:val="006E21FC"/>
    <w:rsid w:val="006E25B0"/>
    <w:rsid w:val="006F5B42"/>
    <w:rsid w:val="00710AAB"/>
    <w:rsid w:val="0071183D"/>
    <w:rsid w:val="007135D3"/>
    <w:rsid w:val="00725B21"/>
    <w:rsid w:val="007267C4"/>
    <w:rsid w:val="00726EF2"/>
    <w:rsid w:val="00731D80"/>
    <w:rsid w:val="00757F70"/>
    <w:rsid w:val="00767044"/>
    <w:rsid w:val="007932D6"/>
    <w:rsid w:val="007B1BC3"/>
    <w:rsid w:val="007B5C9B"/>
    <w:rsid w:val="007B6F16"/>
    <w:rsid w:val="007C1BBE"/>
    <w:rsid w:val="007D20B5"/>
    <w:rsid w:val="007D3DC2"/>
    <w:rsid w:val="007D4793"/>
    <w:rsid w:val="007E0AA2"/>
    <w:rsid w:val="007E1825"/>
    <w:rsid w:val="007F0F98"/>
    <w:rsid w:val="007F2711"/>
    <w:rsid w:val="00817D25"/>
    <w:rsid w:val="00822D6B"/>
    <w:rsid w:val="008671A1"/>
    <w:rsid w:val="0088046C"/>
    <w:rsid w:val="008B1428"/>
    <w:rsid w:val="008B384A"/>
    <w:rsid w:val="008D1F9A"/>
    <w:rsid w:val="008E3189"/>
    <w:rsid w:val="00905C86"/>
    <w:rsid w:val="00906259"/>
    <w:rsid w:val="00936C45"/>
    <w:rsid w:val="009410C5"/>
    <w:rsid w:val="00947758"/>
    <w:rsid w:val="009523CE"/>
    <w:rsid w:val="00955155"/>
    <w:rsid w:val="00971B9C"/>
    <w:rsid w:val="00972798"/>
    <w:rsid w:val="0098014B"/>
    <w:rsid w:val="00994D13"/>
    <w:rsid w:val="009A4468"/>
    <w:rsid w:val="009B5915"/>
    <w:rsid w:val="009E3529"/>
    <w:rsid w:val="009E3C0C"/>
    <w:rsid w:val="00A31AB2"/>
    <w:rsid w:val="00A33724"/>
    <w:rsid w:val="00A33C64"/>
    <w:rsid w:val="00A424E6"/>
    <w:rsid w:val="00A45DBA"/>
    <w:rsid w:val="00A665F9"/>
    <w:rsid w:val="00AB210C"/>
    <w:rsid w:val="00AB6605"/>
    <w:rsid w:val="00AB6ED6"/>
    <w:rsid w:val="00AC7903"/>
    <w:rsid w:val="00AD4A31"/>
    <w:rsid w:val="00AE083F"/>
    <w:rsid w:val="00AF2CF0"/>
    <w:rsid w:val="00B050BD"/>
    <w:rsid w:val="00B21C7F"/>
    <w:rsid w:val="00B31423"/>
    <w:rsid w:val="00B4615D"/>
    <w:rsid w:val="00B51C35"/>
    <w:rsid w:val="00B52FAE"/>
    <w:rsid w:val="00B63FC5"/>
    <w:rsid w:val="00B73F68"/>
    <w:rsid w:val="00B81120"/>
    <w:rsid w:val="00B822DB"/>
    <w:rsid w:val="00B85212"/>
    <w:rsid w:val="00BA7BD9"/>
    <w:rsid w:val="00BA7FAF"/>
    <w:rsid w:val="00BB43BE"/>
    <w:rsid w:val="00BC524E"/>
    <w:rsid w:val="00BD67B3"/>
    <w:rsid w:val="00BE52FA"/>
    <w:rsid w:val="00BE671A"/>
    <w:rsid w:val="00C03627"/>
    <w:rsid w:val="00C0522F"/>
    <w:rsid w:val="00C10F9D"/>
    <w:rsid w:val="00C1619B"/>
    <w:rsid w:val="00C245EF"/>
    <w:rsid w:val="00C304B1"/>
    <w:rsid w:val="00C417D6"/>
    <w:rsid w:val="00C678AA"/>
    <w:rsid w:val="00C729EF"/>
    <w:rsid w:val="00C824C5"/>
    <w:rsid w:val="00C93DFC"/>
    <w:rsid w:val="00CB5D3A"/>
    <w:rsid w:val="00CC4CDC"/>
    <w:rsid w:val="00CD2BF5"/>
    <w:rsid w:val="00CE147F"/>
    <w:rsid w:val="00CF0F42"/>
    <w:rsid w:val="00CF6F00"/>
    <w:rsid w:val="00CF7F7E"/>
    <w:rsid w:val="00D10678"/>
    <w:rsid w:val="00D12CF1"/>
    <w:rsid w:val="00D22754"/>
    <w:rsid w:val="00D24617"/>
    <w:rsid w:val="00D24797"/>
    <w:rsid w:val="00D31341"/>
    <w:rsid w:val="00D33BB6"/>
    <w:rsid w:val="00D33D86"/>
    <w:rsid w:val="00D4202C"/>
    <w:rsid w:val="00D42EC7"/>
    <w:rsid w:val="00D51414"/>
    <w:rsid w:val="00D64423"/>
    <w:rsid w:val="00D674CD"/>
    <w:rsid w:val="00D90761"/>
    <w:rsid w:val="00D9474C"/>
    <w:rsid w:val="00DB0134"/>
    <w:rsid w:val="00DB25DB"/>
    <w:rsid w:val="00DC2C7C"/>
    <w:rsid w:val="00DE1C68"/>
    <w:rsid w:val="00DE1F3E"/>
    <w:rsid w:val="00DF15BC"/>
    <w:rsid w:val="00DF253D"/>
    <w:rsid w:val="00DF48D4"/>
    <w:rsid w:val="00E165B0"/>
    <w:rsid w:val="00E3658D"/>
    <w:rsid w:val="00E44393"/>
    <w:rsid w:val="00E44E55"/>
    <w:rsid w:val="00E45BAB"/>
    <w:rsid w:val="00E52826"/>
    <w:rsid w:val="00E5510B"/>
    <w:rsid w:val="00E57611"/>
    <w:rsid w:val="00E97F0D"/>
    <w:rsid w:val="00EA7EAE"/>
    <w:rsid w:val="00EB16A5"/>
    <w:rsid w:val="00EB4400"/>
    <w:rsid w:val="00EB5F55"/>
    <w:rsid w:val="00EB7D70"/>
    <w:rsid w:val="00EC4193"/>
    <w:rsid w:val="00EC68D0"/>
    <w:rsid w:val="00EE0C0B"/>
    <w:rsid w:val="00EE3A29"/>
    <w:rsid w:val="00EF36B4"/>
    <w:rsid w:val="00EF6469"/>
    <w:rsid w:val="00EF6480"/>
    <w:rsid w:val="00F02E65"/>
    <w:rsid w:val="00F10C63"/>
    <w:rsid w:val="00F16C9A"/>
    <w:rsid w:val="00F30653"/>
    <w:rsid w:val="00F319C8"/>
    <w:rsid w:val="00F4762D"/>
    <w:rsid w:val="00F738CA"/>
    <w:rsid w:val="00F7442D"/>
    <w:rsid w:val="00FA2E29"/>
    <w:rsid w:val="00FA3DF5"/>
    <w:rsid w:val="00FB57C2"/>
    <w:rsid w:val="00FB64D9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D7D0B"/>
  <w15:docId w15:val="{AA4E79C9-85F8-45E8-9A01-55CE8C99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2021-12-13T14:51:00Z</cp:lastPrinted>
  <dcterms:created xsi:type="dcterms:W3CDTF">2021-12-13T12:42:00Z</dcterms:created>
  <dcterms:modified xsi:type="dcterms:W3CDTF">2021-12-13T21:15:00Z</dcterms:modified>
</cp:coreProperties>
</file>